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8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438"/>
        <w:gridCol w:w="3130"/>
        <w:gridCol w:w="1664"/>
        <w:gridCol w:w="3845"/>
      </w:tblGrid>
      <w:tr>
        <w:trPr>
          <w:trHeight w:val="559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5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Группа материалов: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hd w:fill="FFFFFF" w:val="clear"/>
              </w:rPr>
              <w:t>Группа: ЕВ – насосы и насосные агрегаты</w:t>
            </w:r>
          </w:p>
        </w:tc>
      </w:tr>
      <w:tr>
        <w:trPr>
          <w:trHeight w:val="509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опросного листа: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7" w:hanging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30"/>
              <w:ind w:lef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 МТР в ЕНС РКС: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7" w:hanging="0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ЕВ000</w:t>
            </w:r>
            <w:r>
              <w:rPr>
                <w:rFonts w:cs="Times New Roman" w:ascii="Times New Roman" w:hAnsi="Times New Roman"/>
                <w:lang w:val="en-US"/>
              </w:rPr>
              <w:t>773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02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660"/>
        <w:gridCol w:w="4335"/>
        <w:gridCol w:w="1551"/>
        <w:gridCol w:w="3476"/>
      </w:tblGrid>
      <w:tr>
        <w:trPr>
          <w:trHeight w:val="360" w:hRule="atLeast"/>
        </w:trPr>
        <w:tc>
          <w:tcPr>
            <w:tcW w:w="10022" w:type="dxa"/>
            <w:gridSpan w:val="4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Наименование МТР:  Насос аналог 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Гном 1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6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/1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6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,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 xml:space="preserve"> кВт 220 В</w:t>
            </w:r>
          </w:p>
          <w:p>
            <w:pPr>
              <w:pStyle w:val="1"/>
              <w:widowControl w:val="false"/>
              <w:shd w:val="clear" w:color="auto" w:fill="auto"/>
              <w:spacing w:lineRule="auto" w:line="240"/>
              <w:ind w:left="16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58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exact" w:line="245"/>
              <w:ind w:right="89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№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exact" w:line="2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параметра</w:t>
            </w:r>
          </w:p>
          <w:p>
            <w:pPr>
              <w:pStyle w:val="Bodytext31"/>
              <w:widowControl w:val="false"/>
              <w:shd w:val="clear" w:color="auto" w:fill="auto"/>
              <w:spacing w:lineRule="exact" w:line="24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(характеристики)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Размерность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Требования заказчика</w:t>
            </w:r>
          </w:p>
        </w:tc>
      </w:tr>
      <w:tr>
        <w:trPr>
          <w:trHeight w:val="23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tabs>
                <w:tab w:val="clear" w:pos="708"/>
                <w:tab w:val="left" w:pos="508" w:leader="none"/>
              </w:tabs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</w:t>
            </w:r>
          </w:p>
        </w:tc>
        <w:tc>
          <w:tcPr>
            <w:tcW w:w="9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ru-RU"/>
              </w:rPr>
              <w:t>Функциональные параметры</w:t>
            </w:r>
          </w:p>
        </w:tc>
      </w:tr>
      <w:tr>
        <w:trPr>
          <w:trHeight w:val="22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Перекачиваемая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среда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128" w:hanging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auto"/>
              <w:tabs>
                <w:tab w:val="clear" w:pos="708"/>
                <w:tab w:val="left" w:pos="854" w:leader="none"/>
              </w:tabs>
              <w:spacing w:lineRule="exact" w:line="24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18"/>
                <w:szCs w:val="18"/>
                <w:lang w:val="ru-RU"/>
              </w:rPr>
              <w:t>грязных дренажных и фекальных вод, содержащих механические примеси (песок, цемент, глину) массовой концентрацией до 10%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Подача в рабочей точке, в диапазоне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</w:t>
            </w:r>
            <w:r>
              <w:rPr>
                <w:rFonts w:cs="Times New Roman" w:ascii="Times New Roman" w:hAnsi="Times New Roman"/>
                <w:color w:val="000000" w:themeColor="text1"/>
                <w:vertAlign w:val="superscript"/>
              </w:rPr>
              <w:t>3</w:t>
            </w:r>
            <w:r>
              <w:rPr>
                <w:rFonts w:cs="Times New Roman" w:ascii="Times New Roman" w:hAnsi="Times New Roman"/>
                <w:color w:val="000000" w:themeColor="text1"/>
              </w:rPr>
              <w:t>/ч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16</w:t>
            </w:r>
          </w:p>
        </w:tc>
      </w:tr>
      <w:tr>
        <w:trPr>
          <w:trHeight w:val="25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Напор в рабочей точке, в диапазоне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16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Максимальный размер частицы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 xml:space="preserve"> в перекачиваемой среде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мм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5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1.5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КПД, не менее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%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65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1.6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Давление на входе, не более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МПа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1.7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Температур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а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перекачиваемой среды, в диапазоне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°С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+0,1 ....+</w:t>
            </w: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3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5</w:t>
            </w:r>
          </w:p>
        </w:tc>
      </w:tr>
      <w:tr>
        <w:trPr>
          <w:trHeight w:val="25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1.8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Конструктивные параметры спирального корпуса насоса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exact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1.9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Материал корпуса, не хуже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СЧ</w:t>
            </w:r>
            <w:r>
              <w:rPr>
                <w:rFonts w:cs="Times New Roman" w:ascii="Times New Roman" w:hAnsi="Times New Roman"/>
                <w:color w:val="000000" w:themeColor="text1"/>
              </w:rPr>
              <w:t>-2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0 или аналог</w:t>
            </w:r>
          </w:p>
        </w:tc>
      </w:tr>
      <w:tr>
        <w:trPr>
          <w:trHeight w:val="254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Материал р</w:t>
            </w:r>
            <w:r>
              <w:rPr>
                <w:rFonts w:cs="Times New Roman" w:ascii="Times New Roman" w:hAnsi="Times New Roman"/>
                <w:color w:val="000000" w:themeColor="text1"/>
              </w:rPr>
              <w:t>абоче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го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колес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а, не хуже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Уплотнение вала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 xml:space="preserve"> насоса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38" w:hanging="0"/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Метод монтажа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38" w:hanging="0"/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1.13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Длина насоса от фланца всасывающего патрубка до конца двигателя, не более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мм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hanging="0"/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1.14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en-US"/>
              </w:rPr>
              <w:t>NPSH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, не более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м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hanging="0"/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2.</w:t>
            </w:r>
          </w:p>
        </w:tc>
        <w:tc>
          <w:tcPr>
            <w:tcW w:w="9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ru-RU"/>
              </w:rPr>
              <w:t>Требования к электрооборудованию (электродвигателю)</w:t>
            </w:r>
          </w:p>
        </w:tc>
      </w:tr>
      <w:tr>
        <w:trPr>
          <w:trHeight w:val="317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2.1.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Мощность, не более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кВт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2,2</w:t>
            </w:r>
          </w:p>
        </w:tc>
      </w:tr>
      <w:tr>
        <w:trPr>
          <w:trHeight w:val="317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2.2.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Напряжение сети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В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220</w:t>
            </w:r>
          </w:p>
        </w:tc>
      </w:tr>
      <w:tr>
        <w:trPr>
          <w:trHeight w:val="307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2.3.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Частота тока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Г</w:t>
            </w: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ц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2.4.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Номинальный ток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А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9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2.5.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Скорость вращения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об/мин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3000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2.6.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КПД двигателя при полной нагрузке, не менее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%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2.7.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Класс защиты двигателя, не ниже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hanging="0"/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2.8.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Класс защиты коробки выводов, не ниже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2.9.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Тепловая защита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hanging="0"/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lang w:val="ru-RU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2.10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Тип двигателя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Асинхронный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</w:rPr>
              <w:t>3.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lang w:val="ru-RU"/>
              </w:rPr>
              <w:t>Требования к комплекту поставки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</w:r>
          </w:p>
        </w:tc>
      </w:tr>
      <w:tr>
        <w:trPr>
          <w:trHeight w:val="254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3.1.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Насос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lang w:val="ru-RU"/>
              </w:rPr>
              <w:t>3.2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Двигатель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lang w:val="ru-RU"/>
              </w:rPr>
              <w:t>3.3.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Муфта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Комп.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lang w:val="ru-RU"/>
              </w:rPr>
              <w:t>3.4.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Паспорт на оборудование, включающий все технические данные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lang w:val="ru-RU"/>
              </w:rPr>
              <w:t>3.5.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Инструкция эксплуатации на русском языке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Bodytext31"/>
              <w:widowControl w:val="false"/>
              <w:shd w:val="clear" w:color="auto" w:fill="auto"/>
              <w:spacing w:lineRule="auto" w:line="240"/>
              <w:ind w:right="240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color w:val="000000" w:themeColor="text1"/>
                <w:lang w:val="ru-RU"/>
              </w:rPr>
              <w:t>3.6.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6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128" w:hanging="0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Месяцы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"/>
              <w:widowControl w:val="false"/>
              <w:shd w:val="clear" w:color="auto" w:fill="auto"/>
              <w:spacing w:lineRule="auto" w:line="240"/>
              <w:ind w:left="52" w:hanging="14"/>
              <w:jc w:val="left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cs="Times New Roman" w:ascii="Times New Roman" w:hAnsi="Times New Roman"/>
                <w:color w:val="000000" w:themeColor="text1"/>
                <w:lang w:val="ru-RU"/>
              </w:rPr>
              <w:t>24</w:t>
            </w:r>
          </w:p>
        </w:tc>
      </w:tr>
    </w:tbl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bCs/>
          <w:color w:val="000000" w:themeColor="text1"/>
          <w:spacing w:val="10"/>
          <w:sz w:val="16"/>
          <w:szCs w:val="16"/>
          <w:lang w:val="ru-RU"/>
        </w:rPr>
      </w:pPr>
      <w:r>
        <w:rPr>
          <w:rFonts w:cs="Arial" w:ascii="Arial" w:hAnsi="Arial"/>
          <w:bCs/>
          <w:color w:val="000000" w:themeColor="text1"/>
          <w:spacing w:val="10"/>
          <w:sz w:val="16"/>
          <w:szCs w:val="16"/>
          <w:lang w:val="ru-RU"/>
        </w:rPr>
        <w:tab/>
      </w:r>
    </w:p>
    <w:p>
      <w:pPr>
        <w:pStyle w:val="1"/>
        <w:shd w:val="clear" w:color="auto" w:fill="auto"/>
        <w:tabs>
          <w:tab w:val="clear" w:pos="708"/>
          <w:tab w:val="left" w:pos="783" w:leader="none"/>
          <w:tab w:val="left" w:pos="5117" w:leader="none"/>
          <w:tab w:val="left" w:pos="6667" w:leader="none"/>
        </w:tabs>
        <w:spacing w:lineRule="auto" w:line="240"/>
        <w:ind w:left="15" w:hanging="14"/>
        <w:jc w:val="left"/>
        <w:rPr>
          <w:rFonts w:ascii="Arial" w:hAnsi="Arial" w:cs="Arial"/>
          <w:color w:val="538135" w:themeColor="accent6" w:themeShade="bf"/>
          <w:sz w:val="16"/>
          <w:szCs w:val="16"/>
          <w:lang w:val="ru-RU"/>
        </w:rPr>
      </w:pPr>
      <w:r>
        <w:rPr>
          <w:rFonts w:cs="Arial" w:ascii="Arial" w:hAnsi="Arial"/>
          <w:color w:val="538135" w:themeColor="accent6" w:themeShade="bf"/>
          <w:sz w:val="16"/>
          <w:szCs w:val="16"/>
          <w:lang w:val="ru-RU"/>
        </w:rPr>
        <w:tab/>
      </w:r>
      <w:r>
        <w:rPr>
          <w:rFonts w:cs="Arial" w:ascii="Arial" w:hAnsi="Arial"/>
          <w:color w:val="538135" w:themeColor="accent6" w:themeShade="bf"/>
          <w:sz w:val="16"/>
          <w:szCs w:val="16"/>
        </w:rPr>
        <w:tab/>
      </w:r>
    </w:p>
    <w:tbl>
      <w:tblPr>
        <w:tblW w:w="99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9"/>
        <w:gridCol w:w="7753"/>
      </w:tblGrid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ФИО Ответственного: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highlight w:val="white"/>
                <w:lang w:val="ru-RU"/>
              </w:rPr>
              <w:t>Краснов А.А.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Должность: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  <w:lang w:val="ru-RU"/>
              </w:rPr>
              <w:t>Инженер БПП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 / Факс: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вн. 74-77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Электронный адрес: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shd w:fill="FFFFFF" w:val="clear"/>
              </w:rPr>
            </w:pPr>
            <w:r>
              <w:rPr>
                <w:rFonts w:cs="Times New Roman" w:ascii="Helv" w:hAnsi="Helv"/>
                <w:color w:val="000000"/>
                <w:sz w:val="18"/>
                <w:szCs w:val="20"/>
              </w:rPr>
              <w:t>aKrasnov@samcomsys.ru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shd w:fill="FFFFFF" w:val="clear"/>
              </w:rPr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Начальник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ЦЭВС-1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40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Осипов Д.П.</w:t>
            </w:r>
          </w:p>
        </w:tc>
      </w:tr>
      <w:tr>
        <w:trPr>
          <w:trHeight w:val="322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/>
      </w:r>
    </w:p>
    <w:sectPr>
      <w:type w:val="nextPage"/>
      <w:pgSz w:w="11906" w:h="16838"/>
      <w:pgMar w:left="975" w:right="73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Helv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Pr>
      <w:color w:val="000080"/>
      <w:u w:val="single"/>
    </w:rPr>
  </w:style>
  <w:style w:type="character" w:styleId="Bodytext" w:customStyle="1">
    <w:name w:val="Body text_"/>
    <w:basedOn w:val="DefaultParagraphFont"/>
    <w:link w:val="1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8"/>
      <w:szCs w:val="18"/>
    </w:rPr>
  </w:style>
  <w:style w:type="character" w:styleId="Bodytext2" w:customStyle="1">
    <w:name w:val="Body text (2)_"/>
    <w:basedOn w:val="DefaultParagraphFont"/>
    <w:link w:val="Bodytext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</w:rPr>
  </w:style>
  <w:style w:type="character" w:styleId="Bodytext3" w:customStyle="1">
    <w:name w:val="Body text (3)_"/>
    <w:basedOn w:val="DefaultParagraphFont"/>
    <w:link w:val="Bodytext3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18"/>
      <w:szCs w:val="18"/>
    </w:rPr>
  </w:style>
  <w:style w:type="character" w:styleId="Bodytext6" w:customStyle="1">
    <w:name w:val="Body text (6)_"/>
    <w:basedOn w:val="DefaultParagraphFont"/>
    <w:link w:val="Bodytext6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22"/>
      <w:szCs w:val="22"/>
    </w:rPr>
  </w:style>
  <w:style w:type="character" w:styleId="Bodytext4" w:customStyle="1">
    <w:name w:val="Body text (4)_"/>
    <w:basedOn w:val="DefaultParagraphFont"/>
    <w:link w:val="Bodytext40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10"/>
      <w:sz w:val="22"/>
      <w:szCs w:val="22"/>
    </w:rPr>
  </w:style>
  <w:style w:type="character" w:styleId="Bodytext495ptSpacing0pt" w:customStyle="1">
    <w:name w:val="Body text (4) + 9.5 pt;Spacing 0 pt"/>
    <w:basedOn w:val="Bodytext4"/>
    <w:qFormat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" w:customStyle="1">
    <w:name w:val="Основной текст1"/>
    <w:basedOn w:val="Normal"/>
    <w:link w:val="Bodytext"/>
    <w:qFormat/>
    <w:pPr>
      <w:shd w:val="clear" w:color="auto" w:fill="FFFFFF"/>
      <w:spacing w:lineRule="exact" w:line="226"/>
      <w:jc w:val="both"/>
    </w:pPr>
    <w:rPr>
      <w:rFonts w:ascii="Tahoma" w:hAnsi="Tahoma" w:eastAsia="Tahoma" w:cs="Tahoma"/>
      <w:sz w:val="18"/>
      <w:szCs w:val="18"/>
    </w:rPr>
  </w:style>
  <w:style w:type="paragraph" w:styleId="Bodytext21" w:customStyle="1">
    <w:name w:val="Body text (2)"/>
    <w:basedOn w:val="Normal"/>
    <w:link w:val="Bodytext2"/>
    <w:qFormat/>
    <w:pPr>
      <w:shd w:val="clear" w:color="auto" w:fill="FFFFFF"/>
      <w:spacing w:lineRule="atLeast" w:line="0"/>
    </w:pPr>
    <w:rPr>
      <w:rFonts w:ascii="Times New Roman" w:hAnsi="Times New Roman" w:eastAsia="Times New Roman" w:cs="Times New Roman"/>
      <w:sz w:val="20"/>
      <w:szCs w:val="20"/>
    </w:rPr>
  </w:style>
  <w:style w:type="paragraph" w:styleId="Bodytext31" w:customStyle="1">
    <w:name w:val="Body text (3)"/>
    <w:basedOn w:val="Normal"/>
    <w:link w:val="Bodytext3"/>
    <w:qFormat/>
    <w:pPr>
      <w:shd w:val="clear" w:color="auto" w:fill="FFFFFF"/>
      <w:spacing w:lineRule="atLeast" w:line="0"/>
      <w:jc w:val="right"/>
    </w:pPr>
    <w:rPr>
      <w:rFonts w:ascii="Tahoma" w:hAnsi="Tahoma" w:eastAsia="Tahoma" w:cs="Tahoma"/>
      <w:b/>
      <w:bCs/>
      <w:spacing w:val="10"/>
      <w:sz w:val="18"/>
      <w:szCs w:val="18"/>
    </w:rPr>
  </w:style>
  <w:style w:type="paragraph" w:styleId="Bodytext61" w:customStyle="1">
    <w:name w:val="Body text (6)"/>
    <w:basedOn w:val="Normal"/>
    <w:link w:val="Bodytext6"/>
    <w:qFormat/>
    <w:pPr>
      <w:shd w:val="clear" w:color="auto" w:fill="FFFFFF"/>
      <w:spacing w:lineRule="atLeast" w:line="0"/>
      <w:jc w:val="both"/>
    </w:pPr>
    <w:rPr>
      <w:rFonts w:ascii="Tahoma" w:hAnsi="Tahoma" w:eastAsia="Tahoma" w:cs="Tahoma"/>
      <w:spacing w:val="10"/>
      <w:sz w:val="22"/>
      <w:szCs w:val="22"/>
    </w:rPr>
  </w:style>
  <w:style w:type="paragraph" w:styleId="Bodytext41" w:customStyle="1">
    <w:name w:val="Body text (4)"/>
    <w:basedOn w:val="Normal"/>
    <w:link w:val="Bodytext4"/>
    <w:qFormat/>
    <w:pPr>
      <w:shd w:val="clear" w:color="auto" w:fill="FFFFFF"/>
      <w:spacing w:lineRule="atLeast" w:line="0"/>
      <w:jc w:val="both"/>
    </w:pPr>
    <w:rPr>
      <w:rFonts w:ascii="Tahoma" w:hAnsi="Tahoma" w:eastAsia="Tahoma" w:cs="Tahoma"/>
      <w:spacing w:val="10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F1F2D-F2DA-4330-9520-83A69B7A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LibreOffice/7.2.1.2$Windows_X86_64 LibreOffice_project/87b77fad49947c1441b67c559c339af8f3517e22</Application>
  <AppVersion>15.0000</AppVersion>
  <Pages>2</Pages>
  <Words>297</Words>
  <Characters>1624</Characters>
  <CharactersWithSpaces>1785</CharactersWithSpaces>
  <Paragraphs>144</Paragraphs>
  <Company>ОАО "РКС"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2020-09-18T08:33:00Z</dcterms:created>
  <dc:creator>Моисеев Андрей Владимирович</dc:creator>
  <dc:description/>
  <dc:language>ru-RU</dc:language>
  <cp:lastModifiedBy/>
  <dcterms:modified xsi:type="dcterms:W3CDTF">2022-11-02T10:09:46Z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